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240"/>
      </w:pPr>
      <w:r>
        <w:rPr>
          <w:rFonts w:ascii="Arial" w:hAnsi="Arial" w:eastAsia="Calibri" w:cs="Arial"/>
          <w:b/>
          <w:sz w:val="24"/>
          <w:szCs w:val="24"/>
        </w:rPr>
        <w:t xml:space="preserve">ANEXO I – CATEGORIAS</w:t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/>
    </w:p>
    <w:p>
      <w:pPr>
        <w:jc w:val="center"/>
        <w:spacing w:before="240"/>
      </w:pPr>
      <w:r>
        <w:rPr>
          <w:rFonts w:ascii="Arial" w:hAnsi="Arial" w:eastAsia="Calibri" w:cs="Arial"/>
          <w:b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</w:rPr>
      </w:r>
      <w:r/>
    </w:p>
    <w:p>
      <w:pPr>
        <w:pStyle w:val="30"/>
        <w:numPr>
          <w:ilvl w:val="0"/>
          <w:numId w:val="4"/>
        </w:numPr>
        <w:jc w:val="both"/>
        <w:spacing w:before="240" w:after="200" w:line="276" w:lineRule="auto"/>
      </w:pPr>
      <w:r>
        <w:rPr>
          <w:rFonts w:ascii="Arial" w:hAnsi="Arial" w:eastAsia="Calibri" w:cs="Arial"/>
          <w:b/>
          <w:sz w:val="24"/>
          <w:szCs w:val="24"/>
        </w:rPr>
        <w:t xml:space="preserve">RECURSOS DO EDITAL</w:t>
      </w:r>
      <w:r>
        <w:rPr>
          <w:rFonts w:ascii="Arial" w:hAnsi="Arial" w:cs="Arial"/>
          <w:b/>
          <w:sz w:val="24"/>
          <w:szCs w:val="24"/>
        </w:rPr>
      </w:r>
      <w:r/>
    </w:p>
    <w:p>
      <w:pPr>
        <w:ind w:left="0" w:right="120"/>
        <w:jc w:val="both"/>
        <w:spacing w:before="120" w:after="120" w:line="240" w:lineRule="auto"/>
      </w:pPr>
      <w:r>
        <w:rPr>
          <w:rFonts w:ascii="Arial" w:hAnsi="Arial" w:eastAsia="Times New Roman" w:cs="Arial"/>
          <w:color w:val="000000" w:themeColor="text1"/>
          <w:sz w:val="27"/>
          <w:szCs w:val="27"/>
        </w:rPr>
        <w:t xml:space="preserve">O presente edital possui valor total de </w:t>
      </w:r>
      <w:r>
        <w:rPr>
          <w:rFonts w:ascii="Arial" w:hAnsi="Arial" w:eastAsia="Times New Roman" w:cs="Arial"/>
          <w:color w:val="000000" w:themeColor="text1"/>
          <w:sz w:val="27"/>
          <w:szCs w:val="27"/>
        </w:rPr>
        <w:t xml:space="preserve">R$ 205.000,00 (Duzentos e cinco mil reais)</w:t>
      </w:r>
      <w:r>
        <w:rPr>
          <w:rFonts w:ascii="Arial" w:hAnsi="Arial" w:eastAsia="Times New Roman" w:cs="Arial"/>
          <w:color w:val="000000" w:themeColor="text1"/>
          <w:sz w:val="27"/>
          <w:szCs w:val="27"/>
        </w:rPr>
        <w:t xml:space="preserve"> distribuídos da seguinte forma:</w:t>
      </w:r>
      <w:r>
        <w:rPr>
          <w:rFonts w:ascii="Arial" w:hAnsi="Arial" w:cs="Arial"/>
          <w:color w:val="000000" w:themeColor="text1"/>
          <w:sz w:val="27"/>
          <w:szCs w:val="27"/>
        </w:rPr>
      </w:r>
      <w:r/>
    </w:p>
    <w:p>
      <w:pPr>
        <w:jc w:val="both"/>
        <w:spacing w:before="240" w:after="200"/>
      </w:pP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a) Até R$  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45.000,00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 (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Quarenta e cinco mil reais) para CATEGORIA </w:t>
      </w:r>
      <w:r>
        <w:rPr>
          <w:rFonts w:ascii="Arial" w:hAnsi="Arial" w:eastAsia="Calibri" w:cs="Arial"/>
          <w:b/>
          <w:bCs/>
          <w:color w:val="000000" w:themeColor="text1"/>
          <w:sz w:val="24"/>
          <w:szCs w:val="24"/>
        </w:rPr>
        <w:t xml:space="preserve">Projetos de Primeira Execução – Linguagem Livre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; 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jc w:val="both"/>
        <w:spacing w:before="240" w:after="200"/>
      </w:pP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b) Até R$  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160.000,00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 (Cento e sessenta mil reais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) para CATEGORIA </w:t>
      </w:r>
      <w:r>
        <w:rPr>
          <w:rFonts w:ascii="Arial" w:hAnsi="Arial" w:eastAsia="Calibri" w:cs="Arial"/>
          <w:b/>
          <w:bCs/>
          <w:color w:val="000000" w:themeColor="text1"/>
          <w:sz w:val="24"/>
          <w:szCs w:val="24"/>
        </w:rPr>
        <w:t xml:space="preserve">Projetos de Execução Artística – Linguagem Livre</w:t>
      </w:r>
      <w:r>
        <w:rPr>
          <w:rFonts w:ascii="Arial" w:hAnsi="Arial" w:eastAsia="Calibri" w:cs="Arial"/>
          <w:color w:val="000000" w:themeColor="text1"/>
          <w:sz w:val="24"/>
          <w:szCs w:val="24"/>
        </w:rPr>
        <w:t xml:space="preserve">;</w:t>
      </w:r>
      <w:r>
        <w:rPr>
          <w:rFonts w:ascii="Arial" w:hAnsi="Arial" w:cs="Arial"/>
          <w:color w:val="000000" w:themeColor="text1"/>
          <w:sz w:val="24"/>
          <w:szCs w:val="24"/>
          <w:highlight w:val="none"/>
        </w:rPr>
      </w:r>
      <w:r/>
    </w:p>
    <w:p>
      <w:pPr>
        <w:jc w:val="both"/>
        <w:spacing w:before="240" w:after="200"/>
      </w:pPr>
      <w:r>
        <w:rPr>
          <w:rFonts w:ascii="Arial" w:hAnsi="Arial" w:eastAsia="Calibri" w:cs="Arial"/>
          <w:color w:val="000000" w:themeColor="text1"/>
          <w:sz w:val="24"/>
          <w:szCs w:val="24"/>
          <w:highlight w:val="none"/>
        </w:rPr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pStyle w:val="30"/>
        <w:numPr>
          <w:ilvl w:val="0"/>
          <w:numId w:val="5"/>
        </w:numPr>
        <w:jc w:val="both"/>
        <w:spacing w:before="240" w:after="200" w:line="276" w:lineRule="auto"/>
      </w:pPr>
      <w:r>
        <w:rPr>
          <w:rFonts w:ascii="Arial" w:hAnsi="Arial" w:eastAsia="Calibri" w:cs="Arial"/>
          <w:b/>
          <w:sz w:val="24"/>
          <w:szCs w:val="24"/>
        </w:rPr>
        <w:t xml:space="preserve">DESCRIÇÃO DAS CATEGORIAS</w:t>
      </w:r>
      <w:r>
        <w:rPr>
          <w:rFonts w:ascii="Arial" w:hAnsi="Arial" w:cs="Arial"/>
          <w:b/>
          <w:sz w:val="24"/>
          <w:szCs w:val="24"/>
        </w:rPr>
      </w:r>
      <w:r/>
    </w:p>
    <w:p>
      <w:pPr>
        <w:jc w:val="both"/>
        <w:spacing w:before="240" w:after="200" w:line="276" w:lineRule="auto"/>
      </w:pPr>
      <w:r>
        <w:rPr>
          <w:rFonts w:ascii="Arial" w:hAnsi="Arial" w:eastAsia="Calibri" w:cs="Arial"/>
          <w:b/>
          <w:sz w:val="24"/>
          <w:szCs w:val="24"/>
        </w:rPr>
      </w:r>
      <w:r>
        <w:rPr>
          <w:rFonts w:ascii="Arial" w:hAnsi="Arial" w:eastAsia="Calibri" w:cs="Arial"/>
          <w:b/>
          <w:bCs/>
          <w:color w:val="000000" w:themeColor="text1"/>
          <w:sz w:val="24"/>
          <w:szCs w:val="24"/>
        </w:rPr>
        <w:t xml:space="preserve">Projetos de Primeira Execução – Linguagem Livre</w:t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/>
    </w:p>
    <w:p>
      <w:pPr>
        <w:jc w:val="both"/>
        <w:spacing w:before="240" w:after="200" w:line="276" w:lineRule="auto"/>
      </w:pPr>
      <w:r>
        <w:rPr>
          <w:rFonts w:ascii="Arial" w:hAnsi="Arial" w:eastAsia="Calibri" w:cs="Arial"/>
          <w:b w:val="0"/>
          <w:bCs w:val="0"/>
          <w:sz w:val="24"/>
          <w:szCs w:val="24"/>
          <w:highlight w:val="none"/>
        </w:rPr>
        <w:t xml:space="preserve">Foram destinados 45 mil para proponentes que participarão pela primeira vez do edital em 9 cotas de 5 mil reais</w:t>
      </w:r>
      <w:r>
        <w:rPr>
          <w:rFonts w:ascii="Arial" w:hAnsi="Arial" w:cs="Arial"/>
          <w:b w:val="0"/>
          <w:bCs w:val="0"/>
          <w:sz w:val="24"/>
          <w:szCs w:val="24"/>
          <w:highlight w:val="none"/>
        </w:rPr>
      </w:r>
      <w:r/>
    </w:p>
    <w:p>
      <w:pPr>
        <w:jc w:val="both"/>
        <w:spacing w:before="240" w:after="200" w:line="276" w:lineRule="auto"/>
      </w:pPr>
      <w:r>
        <w:rPr>
          <w:rFonts w:ascii="Arial" w:hAnsi="Arial" w:eastAsia="Calibri" w:cs="Arial"/>
          <w:b/>
          <w:sz w:val="24"/>
          <w:szCs w:val="24"/>
          <w:highlight w:val="none"/>
        </w:rPr>
      </w:r>
      <w:r>
        <w:rPr>
          <w:rFonts w:ascii="Arial" w:hAnsi="Arial" w:eastAsia="Calibri" w:cs="Arial"/>
          <w:b/>
          <w:bCs/>
          <w:color w:val="000000" w:themeColor="text1"/>
          <w:sz w:val="24"/>
          <w:szCs w:val="24"/>
        </w:rPr>
        <w:t xml:space="preserve">Projetos de Execução Artística – Linguagem Livre</w:t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/>
    </w:p>
    <w:p>
      <w:pPr>
        <w:jc w:val="both"/>
        <w:spacing w:before="240" w:after="200" w:line="276" w:lineRule="auto"/>
      </w:pPr>
      <w:r>
        <w:rPr>
          <w:rFonts w:ascii="Arial" w:hAnsi="Arial" w:eastAsia="Calibri" w:cs="Arial"/>
          <w:b w:val="0"/>
          <w:bCs w:val="0"/>
          <w:sz w:val="24"/>
          <w:szCs w:val="24"/>
          <w:highlight w:val="none"/>
        </w:rPr>
        <w:t xml:space="preserve">Foram destinados 160 mil para proponentes em 8 cotas de 20 mil reais.</w:t>
      </w:r>
      <w:r>
        <w:rPr>
          <w:rFonts w:ascii="Arial" w:hAnsi="Arial" w:cs="Arial"/>
          <w:highlight w:val="none"/>
        </w:rPr>
      </w:r>
      <w:r/>
    </w:p>
    <w:p>
      <w:pPr>
        <w:jc w:val="both"/>
        <w:spacing w:before="240" w:after="200" w:line="276" w:lineRule="auto"/>
      </w:pPr>
      <w:r>
        <w:rPr>
          <w:rFonts w:ascii="Arial" w:hAnsi="Arial" w:eastAsia="Calibri" w:cs="Arial"/>
          <w:b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</w:rPr>
      </w:r>
      <w:r/>
    </w:p>
    <w:p>
      <w:pPr>
        <w:pStyle w:val="30"/>
        <w:numPr>
          <w:ilvl w:val="0"/>
          <w:numId w:val="5"/>
        </w:numPr>
        <w:jc w:val="both"/>
        <w:spacing w:after="200"/>
      </w:pPr>
      <w:r>
        <w:rPr>
          <w:rFonts w:ascii="Arial" w:hAnsi="Arial" w:eastAsia="Calibri" w:cs="Arial"/>
          <w:b/>
          <w:bCs/>
          <w:sz w:val="24"/>
          <w:szCs w:val="24"/>
        </w:rPr>
        <w:t xml:space="preserve">DISTRIBUIÇÃO DE VAGAS E VALORES</w:t>
      </w:r>
      <w:r>
        <w:rPr>
          <w:rFonts w:ascii="Arial" w:hAnsi="Arial" w:cs="Arial"/>
          <w:b/>
          <w:sz w:val="24"/>
          <w:szCs w:val="24"/>
        </w:rPr>
      </w:r>
      <w:r/>
    </w:p>
    <w:p>
      <w:pPr>
        <w:jc w:val="both"/>
        <w:spacing w:after="200"/>
      </w:pPr>
      <w:r>
        <w:rPr>
          <w:rFonts w:ascii="Arial" w:hAnsi="Arial" w:eastAsia="Calibri" w:cs="Arial"/>
          <w:color w:val="ff0000"/>
          <w:sz w:val="24"/>
          <w:szCs w:val="24"/>
        </w:rPr>
      </w:r>
      <w:r>
        <w:rPr>
          <w:rFonts w:ascii="Arial" w:hAnsi="Arial" w:cs="Arial"/>
          <w:color w:val="ff0000"/>
          <w:sz w:val="24"/>
          <w:szCs w:val="24"/>
        </w:rPr>
      </w:r>
      <w:r/>
    </w:p>
    <w:tbl>
      <w:tblPr>
        <w:tblW w:w="11520" w:type="dxa"/>
        <w:tblInd w:w="-151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660"/>
        <w:gridCol w:w="1417"/>
        <w:gridCol w:w="1134"/>
        <w:gridCol w:w="1134"/>
        <w:gridCol w:w="992"/>
        <w:gridCol w:w="850"/>
        <w:gridCol w:w="1134"/>
        <w:gridCol w:w="992"/>
        <w:gridCol w:w="992"/>
        <w:gridCol w:w="1215"/>
      </w:tblGrid>
      <w:tr>
        <w:trPr>
          <w:trHeight w:val="83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</w:rPr>
              <w:t xml:space="preserve">CATEGORIAS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QTD DE VAGAS AMPLA CONCORRÊNCIA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COTAS PARA PESSOAS NEGRAS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COTAS PARA PESSOAS ÍNDIGENAS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COTAS PARA PCD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b/>
                <w:bCs/>
                <w:sz w:val="14"/>
                <w:szCs w:val="14"/>
              </w:rPr>
              <w:t xml:space="preserve">COTAS PARA 60+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b/>
                <w:bCs/>
                <w:sz w:val="14"/>
                <w:szCs w:val="14"/>
              </w:rPr>
              <w:t xml:space="preserve">COTAS PARA LGBTQIAPN+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QUANT. TOTAL DE VAGAS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VALOR MÁXIMO POR PROJETO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  <w:t xml:space="preserve">VALOR TOTAL DA CATEGORIA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</w:r>
            <w:r>
              <w:rPr>
                <w:rFonts w:ascii="Arial" w:hAnsi="Arial" w:eastAsia="Calibri" w:cs="Arial"/>
                <w:b/>
                <w:bCs/>
                <w:color w:val="000000" w:themeColor="text1"/>
                <w:sz w:val="14"/>
                <w:szCs w:val="14"/>
              </w:rPr>
              <w:t xml:space="preserve">Projetos de Primeira Execução – Linguagem Livre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3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9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R$5.000,00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R$45.000,00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</w:tr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  <w:bCs/>
              </w:rPr>
            </w:pPr>
            <w:r>
              <w:rPr>
                <w:rFonts w:ascii="Arial" w:hAnsi="Arial" w:eastAsia="Calibri" w:cs="Arial"/>
                <w:b/>
                <w:sz w:val="14"/>
                <w:szCs w:val="14"/>
              </w:rPr>
            </w:r>
            <w:r>
              <w:rPr>
                <w:rFonts w:ascii="Arial" w:hAnsi="Arial" w:eastAsia="Calibri" w:cs="Arial"/>
                <w:b/>
                <w:bCs/>
                <w:color w:val="000000" w:themeColor="text1"/>
                <w:sz w:val="14"/>
                <w:szCs w:val="14"/>
              </w:rPr>
              <w:t xml:space="preserve">Projetos de Execução Artística – Linguagem Livre</w:t>
            </w:r>
            <w:r>
              <w:rPr>
                <w:rFonts w:ascii="Arial" w:hAnsi="Arial" w:cs="Arial"/>
                <w:b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2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1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8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R$20.000,00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sz w:val="14"/>
                <w:szCs w:val="14"/>
              </w:rPr>
              <w:t xml:space="preserve">R$160.000,00</w:t>
            </w:r>
            <w:r>
              <w:rPr>
                <w:rFonts w:ascii="Arial" w:hAnsi="Arial" w:cs="Arial"/>
                <w:sz w:val="14"/>
                <w:szCs w:val="14"/>
              </w:rPr>
            </w:r>
            <w:r/>
          </w:p>
        </w:tc>
      </w:tr>
    </w:tbl>
    <w:p>
      <w:pPr>
        <w:jc w:val="both"/>
        <w:spacing w:before="240" w:after="200"/>
        <w:rPr>
          <w:rFonts w:ascii="Arial" w:hAnsi="Arial" w:cs="Arial"/>
          <w:b/>
          <w:bCs/>
          <w:color w:val="ff0000"/>
          <w:sz w:val="24"/>
          <w:szCs w:val="24"/>
          <w:highlight w:val="none"/>
        </w:rPr>
      </w:pPr>
      <w:r>
        <w:rPr>
          <w:rFonts w:ascii="Arial" w:hAnsi="Arial" w:eastAsia="Calibri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</w:p>
    <w:p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9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0"/>
    <w:link w:val="695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10"/>
    <w:link w:val="696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10"/>
    <w:link w:val="697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10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10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10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94"/>
    <w:next w:val="694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94"/>
    <w:next w:val="694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94"/>
    <w:next w:val="694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94"/>
    <w:uiPriority w:val="34"/>
    <w:qFormat/>
    <w:pPr>
      <w:contextualSpacing/>
      <w:ind w:left="720"/>
    </w:p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0"/>
    <w:link w:val="701"/>
    <w:uiPriority w:val="10"/>
    <w:rPr>
      <w:sz w:val="48"/>
      <w:szCs w:val="48"/>
    </w:rPr>
  </w:style>
  <w:style w:type="character" w:styleId="36">
    <w:name w:val="Subtitle Char"/>
    <w:basedOn w:val="10"/>
    <w:link w:val="702"/>
    <w:uiPriority w:val="11"/>
    <w:rPr>
      <w:sz w:val="24"/>
      <w:szCs w:val="24"/>
    </w:rPr>
  </w:style>
  <w:style w:type="paragraph" w:styleId="37">
    <w:name w:val="Quote"/>
    <w:basedOn w:val="694"/>
    <w:next w:val="694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94"/>
    <w:next w:val="694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94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94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94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9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94"/>
    <w:next w:val="694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94"/>
    <w:next w:val="694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94"/>
    <w:next w:val="694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94"/>
    <w:next w:val="694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94"/>
    <w:next w:val="694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94"/>
    <w:next w:val="694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94"/>
    <w:next w:val="694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94"/>
    <w:next w:val="694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94"/>
    <w:next w:val="694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94"/>
    <w:next w:val="694"/>
    <w:uiPriority w:val="99"/>
    <w:unhideWhenUsed/>
    <w:pPr>
      <w:spacing w:after="0" w:afterAutospacing="0"/>
    </w:pPr>
  </w:style>
  <w:style w:type="table" w:styleId="693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694" w:default="1">
    <w:name w:val="Normal"/>
  </w:style>
  <w:style w:type="paragraph" w:styleId="695">
    <w:name w:val="Heading 1"/>
    <w:basedOn w:val="694"/>
    <w:next w:val="694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696">
    <w:name w:val="Heading 2"/>
    <w:basedOn w:val="694"/>
    <w:next w:val="694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697">
    <w:name w:val="Heading 3"/>
    <w:basedOn w:val="694"/>
    <w:next w:val="694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698">
    <w:name w:val="Heading 4"/>
    <w:basedOn w:val="694"/>
    <w:next w:val="694"/>
    <w:pPr>
      <w:keepLines/>
      <w:keepNext/>
      <w:spacing w:before="80" w:after="40"/>
    </w:pPr>
    <w:rPr>
      <w:i/>
      <w:iCs/>
      <w:color w:val="0f4761"/>
    </w:rPr>
  </w:style>
  <w:style w:type="paragraph" w:styleId="699">
    <w:name w:val="Heading 5"/>
    <w:basedOn w:val="694"/>
    <w:next w:val="694"/>
    <w:pPr>
      <w:keepLines/>
      <w:keepNext/>
      <w:spacing w:before="80" w:after="40"/>
    </w:pPr>
    <w:rPr>
      <w:color w:val="0f4761"/>
    </w:rPr>
  </w:style>
  <w:style w:type="paragraph" w:styleId="700">
    <w:name w:val="Heading 6"/>
    <w:basedOn w:val="694"/>
    <w:next w:val="694"/>
    <w:pPr>
      <w:keepLines/>
      <w:keepNext/>
      <w:spacing w:before="40" w:after="0"/>
    </w:pPr>
    <w:rPr>
      <w:i/>
      <w:iCs/>
      <w:color w:val="595959"/>
    </w:rPr>
  </w:style>
  <w:style w:type="paragraph" w:styleId="701">
    <w:name w:val="Title"/>
    <w:basedOn w:val="694"/>
    <w:next w:val="694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702">
    <w:name w:val="Subtitle"/>
    <w:basedOn w:val="694"/>
    <w:next w:val="694"/>
    <w:rPr>
      <w:color w:val="595959"/>
      <w:sz w:val="28"/>
      <w:szCs w:val="28"/>
    </w:rPr>
  </w:style>
  <w:style w:type="table" w:styleId="703">
    <w:name w:val="StGen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4">
    <w:name w:val="StGen1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StGen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6">
    <w:name w:val="StGen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7">
    <w:name w:val="StGen4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8">
    <w:name w:val="StGen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9">
    <w:name w:val="StGen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0">
    <w:name w:val="StGen7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1">
    <w:name w:val="StGen8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2">
    <w:name w:val="StGen9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3">
    <w:name w:val="StGen1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4">
    <w:name w:val="StGen11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5">
    <w:name w:val="StGen1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6">
    <w:name w:val="StGen1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7">
    <w:name w:val="StGen14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StGen1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9">
    <w:name w:val="StGen1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2359" w:default="1">
    <w:name w:val="Default Paragraph Font"/>
    <w:uiPriority w:val="1"/>
    <w:semiHidden/>
    <w:unhideWhenUsed/>
  </w:style>
  <w:style w:type="numbering" w:styleId="236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